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spacing w:lineRule="auto" w:line="276"/>
        <w:ind w:left="349" w:right="119"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bCs/>
          <w:caps/>
          <w:color w:val="000000"/>
          <w:spacing w:val="-2"/>
          <w:w w:val="105"/>
          <w:sz w:val="22"/>
          <w:szCs w:val="22"/>
        </w:rPr>
        <w:t>portant MISE EN œuvre D’UNE ASTREINTE</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i/>
          <w:iCs/>
          <w:color w:val="000000"/>
          <w:spacing w:val="-2"/>
          <w:sz w:val="22"/>
          <w:szCs w:val="22"/>
        </w:rPr>
        <w:t>XXX</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Vu le code de l’environnement, et notamment ses articles L.178-1, L.541-2 et L.541-3 ;</w:t>
      </w:r>
    </w:p>
    <w:p>
      <w:pPr>
        <w:pStyle w:val="Normal"/>
        <w:spacing w:before="0" w:after="28"/>
        <w:jc w:val="both"/>
        <w:rPr>
          <w:rFonts w:ascii="Times New Roman" w:hAnsi="Times New Roman"/>
          <w:sz w:val="22"/>
          <w:szCs w:val="22"/>
        </w:rPr>
      </w:pPr>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départemental du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0" w:name="_Hlk179226468"/>
      <w:bookmarkEnd w:id="0"/>
      <w:r>
        <w:rPr>
          <w:rStyle w:val="Policepardfaut"/>
          <w:rFonts w:ascii="Times New Roman" w:hAnsi="Times New Roman"/>
          <w:sz w:val="22"/>
          <w:szCs w:val="22"/>
        </w:rPr>
        <w:t xml:space="preserve">Vu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XX.YY.20ZZ</w:t>
      </w:r>
      <w:r>
        <w:rPr>
          <w:rStyle w:val="Policepardfaut"/>
          <w:rFonts w:ascii="Times New Roman" w:hAnsi="Times New Roman"/>
          <w:i/>
          <w:iCs/>
          <w:sz w:val="22"/>
          <w:szCs w:val="22"/>
        </w:rPr>
        <w:t>, réglementant</w:t>
      </w:r>
      <w:r>
        <w:rPr>
          <w:rStyle w:val="Policepardfaut"/>
          <w:i/>
          <w:iCs/>
        </w:rPr>
        <w:t xml:space="preserve"> </w:t>
      </w:r>
      <w:r>
        <w:rPr>
          <w:rStyle w:val="Policepardfaut"/>
          <w:rFonts w:ascii="Times New Roman" w:hAnsi="Times New Roman"/>
          <w:i/>
          <w:iCs/>
          <w:sz w:val="22"/>
          <w:szCs w:val="22"/>
        </w:rPr>
        <w:t xml:space="preserve">par exemple le dépôt de tout matériel ou objet </w:t>
      </w:r>
      <w:r>
        <w:rPr>
          <w:rStyle w:val="Policepardfaut"/>
          <w:rFonts w:ascii="Times New Roman" w:hAnsi="Times New Roman"/>
          <w:sz w:val="22"/>
          <w:szCs w:val="22"/>
        </w:rPr>
        <w:t>sur le territoire de la commune ;</w:t>
      </w:r>
    </w:p>
    <w:p>
      <w:pPr>
        <w:pStyle w:val="Normal"/>
        <w:spacing w:before="0" w:after="28"/>
        <w:jc w:val="both"/>
        <w:rPr>
          <w:rFonts w:ascii="Times New Roman" w:hAnsi="Times New Roman"/>
          <w:b/>
          <w:bCs/>
          <w:sz w:val="22"/>
          <w:szCs w:val="22"/>
        </w:rPr>
      </w:pPr>
      <w:r>
        <w:rPr>
          <w:rFonts w:ascii="Times New Roman" w:hAnsi="Times New Roman"/>
          <w:b/>
          <w:bCs/>
          <w:sz w:val="22"/>
          <w:szCs w:val="22"/>
        </w:rPr>
      </w:r>
      <w:bookmarkStart w:id="1" w:name="_Hlk179226468"/>
      <w:bookmarkStart w:id="2" w:name="_Hlk179226468"/>
      <w:bookmarkEnd w:id="2"/>
    </w:p>
    <w:p>
      <w:pPr>
        <w:pStyle w:val="Normal"/>
        <w:spacing w:before="0" w:after="28"/>
        <w:jc w:val="both"/>
        <w:rPr/>
      </w:pPr>
      <w:r>
        <w:rPr>
          <w:rStyle w:val="Policepardfaut"/>
          <w:rFonts w:ascii="Times New Roman" w:hAnsi="Times New Roman"/>
          <w:sz w:val="22"/>
          <w:szCs w:val="22"/>
        </w:rPr>
        <w:t xml:space="preserve">Vu l’arrêté municipal de mise en demeure en date du </w:t>
      </w:r>
      <w:r>
        <w:rPr>
          <w:rStyle w:val="Policepardfaut"/>
          <w:rFonts w:ascii="Times New Roman" w:hAnsi="Times New Roman"/>
          <w:b/>
          <w:bCs/>
          <w:sz w:val="22"/>
          <w:szCs w:val="22"/>
        </w:rPr>
        <w:t>XX.YY.20ZZ</w:t>
      </w:r>
      <w:r>
        <w:rPr>
          <w:rStyle w:val="Policepardfaut"/>
          <w:rFonts w:ascii="Times New Roman" w:hAnsi="Times New Roman"/>
          <w:sz w:val="22"/>
          <w:szCs w:val="22"/>
        </w:rPr>
        <w:t xml:space="preserve"> à l’encontre de monsieur (ou madame) ou de la société </w:t>
      </w:r>
      <w:r>
        <w:rPr>
          <w:rStyle w:val="Policepardfaut"/>
          <w:rFonts w:ascii="Times New Roman" w:hAnsi="Times New Roman"/>
          <w:b/>
          <w:bCs/>
          <w:i/>
          <w:iCs/>
          <w:sz w:val="22"/>
          <w:szCs w:val="22"/>
        </w:rPr>
        <w:t>(le mentionner et mentionner le numéro de SIRET</w:t>
      </w:r>
      <w:r>
        <w:rPr>
          <w:rStyle w:val="Policepardfaut"/>
          <w:rFonts w:ascii="Times New Roman" w:hAnsi="Times New Roman"/>
          <w:sz w:val="22"/>
          <w:szCs w:val="22"/>
        </w:rPr>
        <w:t xml:space="preserve">, dans un délai de X  de procéder à X </w:t>
      </w:r>
      <w:r>
        <w:rPr>
          <w:rStyle w:val="Policepardfaut"/>
          <w:rFonts w:ascii="Times New Roman" w:hAnsi="Times New Roman"/>
          <w:i/>
          <w:iCs/>
          <w:sz w:val="22"/>
          <w:szCs w:val="22"/>
        </w:rPr>
        <w:t>l’enlèvement du dépôt sauvage et à la remise en état du terrain, etc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Vu le procès-verbal établi le XX.YY.20ZZ par la police municipale ou de maître X, commissaire de justice attestant de l’inobservation des prescriptions imposées par l’arrêté de mise en demeure précité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 que, selon l’article L. 541-2 du Code de l’environnement « </w:t>
      </w:r>
      <w:r>
        <w:rPr>
          <w:rStyle w:val="Policepardfaut"/>
          <w:rFonts w:ascii="Times New Roman" w:hAnsi="Times New Roman"/>
          <w:i/>
          <w:iCs/>
          <w:sz w:val="22"/>
          <w:szCs w:val="22"/>
        </w:rPr>
        <w:t>Tout producteur ou détenteur de déchets est tenu d’en assurer ou d’en faire assurer la gestion (…) </w:t>
      </w:r>
      <w:r>
        <w:rPr>
          <w:rStyle w:val="Policepardfaut"/>
          <w:rFonts w:ascii="Times New Roman" w:hAnsi="Times New Roman"/>
          <w:sz w:val="22"/>
          <w:szCs w:val="22"/>
        </w:rPr>
        <w: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w:t>
      </w:r>
      <w:r>
        <w:rPr>
          <w:rStyle w:val="Policepardfaut"/>
          <w:rFonts w:ascii="Times New Roman" w:hAnsi="Times New Roman"/>
          <w:i/>
          <w:iCs/>
          <w:sz w:val="22"/>
          <w:szCs w:val="22"/>
        </w:rPr>
        <w:t>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1"/>
        <w:rPr>
          <w:rFonts w:ascii="Times New Roman" w:hAnsi="Times New Roman"/>
          <w:i/>
          <w:i/>
          <w:iCs/>
          <w:sz w:val="22"/>
          <w:szCs w:val="22"/>
        </w:rPr>
      </w:pPr>
      <w:r>
        <w:rPr>
          <w:rFonts w:ascii="Times New Roman" w:hAnsi="Times New Roman"/>
          <w:i/>
          <w:iCs/>
          <w:sz w:val="22"/>
          <w:szCs w:val="22"/>
        </w:rPr>
        <w:t>(…) 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était tenu de respecter les dispositions de l’arrêté municipal de mise en demeure du XX.YY.20ZZ susvisé selon les délais impartis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déféré aux dispositions de l’arrêté municipal de mise en demeure susvisé et que les raisons ayant motivé cet arrêté demeurent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les constats suivants effectués par la police municipale ou par maître X X commissaire de justice(cf. rapport du XX.YY.20ZZ) : </w:t>
      </w:r>
      <w:r>
        <w:rPr>
          <w:rStyle w:val="Policepardfaut"/>
          <w:rFonts w:ascii="Times New Roman" w:hAnsi="Times New Roman"/>
          <w:i/>
          <w:iCs/>
          <w:sz w:val="22"/>
          <w:szCs w:val="22"/>
        </w:rPr>
        <w:t>lister les constatations utiles illustrant les manquements :</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ces non-respects constituent des manquements caractérisés de la mise en demeure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i/>
          <w:iCs/>
          <w:sz w:val="22"/>
          <w:szCs w:val="22"/>
          <w:shd w:fill="auto" w:val="clear"/>
        </w:rPr>
        <w:t>(le cas échéant)</w:t>
      </w:r>
      <w:r>
        <w:rPr>
          <w:rStyle w:val="Policepardfaut"/>
          <w:rFonts w:ascii="Times New Roman" w:hAnsi="Times New Roman"/>
          <w:sz w:val="22"/>
          <w:szCs w:val="22"/>
          <w:shd w:fill="auto" w:val="clear"/>
        </w:rPr>
        <w:t xml:space="preserve"> Considérant que le courrier de l’exploitant en date du XX.YY.20ZZ n’apporte pas d’élément nouveau ni d’indication sur des mesures concrètes à mettre en œuvre pour respecter l’arrêté du XX.YY.20ZZ ;</w:t>
      </w:r>
    </w:p>
    <w:p>
      <w:pPr>
        <w:pStyle w:val="Normal"/>
        <w:spacing w:before="0" w:after="28"/>
        <w:jc w:val="both"/>
        <w:rPr>
          <w:rFonts w:ascii="Times New Roman" w:hAnsi="Times New Roman"/>
          <w:b/>
          <w:bCs/>
          <w:sz w:val="22"/>
          <w:szCs w:val="22"/>
          <w:shd w:fill="auto" w:val="clear"/>
        </w:rPr>
      </w:pPr>
      <w:r>
        <w:rPr>
          <w:rFonts w:ascii="Times New Roman" w:hAnsi="Times New Roman"/>
          <w:b/>
          <w:bCs/>
          <w:sz w:val="22"/>
          <w:szCs w:val="22"/>
          <w:shd w:fill="auto" w:val="clear"/>
        </w:rPr>
      </w:r>
    </w:p>
    <w:p>
      <w:pPr>
        <w:pStyle w:val="Normal"/>
        <w:spacing w:before="0" w:after="28"/>
        <w:jc w:val="both"/>
        <w:rPr/>
      </w:pPr>
      <w:r>
        <w:rPr>
          <w:rStyle w:val="Policepardfaut"/>
          <w:rFonts w:ascii="Times New Roman" w:hAnsi="Times New Roman"/>
          <w:sz w:val="22"/>
          <w:szCs w:val="22"/>
          <w:shd w:fill="auto" w:val="clear"/>
        </w:rPr>
        <w:t xml:space="preserve">Considérant que le dépôt constitué par monsieur (ou madame) ou la société </w:t>
      </w:r>
      <w:r>
        <w:rPr>
          <w:rStyle w:val="Policepardfaut"/>
          <w:rFonts w:ascii="Times New Roman" w:hAnsi="Times New Roman"/>
          <w:b/>
          <w:bCs/>
          <w:i/>
          <w:iCs/>
          <w:sz w:val="22"/>
          <w:szCs w:val="22"/>
          <w:shd w:fill="auto" w:val="clear"/>
        </w:rPr>
        <w:t>(la mentionner)</w:t>
      </w:r>
      <w:r>
        <w:rPr>
          <w:rStyle w:val="Policepardfaut"/>
          <w:rFonts w:ascii="Times New Roman" w:hAnsi="Times New Roman"/>
          <w:sz w:val="22"/>
          <w:szCs w:val="22"/>
          <w:shd w:fill="auto" w:val="clear"/>
        </w:rPr>
        <w:t xml:space="preserve"> sur le terrain sis (</w:t>
      </w:r>
      <w:r>
        <w:rPr>
          <w:rStyle w:val="Policepardfaut"/>
          <w:rFonts w:ascii="Times New Roman" w:hAnsi="Times New Roman"/>
          <w:b/>
          <w:bCs/>
          <w:i/>
          <w:iCs/>
          <w:sz w:val="22"/>
          <w:szCs w:val="22"/>
          <w:shd w:fill="auto" w:val="clear"/>
        </w:rPr>
        <w:t xml:space="preserve">le mentionner) </w:t>
      </w:r>
      <w:r>
        <w:rPr>
          <w:rStyle w:val="Policepardfaut"/>
          <w:rFonts w:ascii="Times New Roman" w:hAnsi="Times New Roman"/>
          <w:sz w:val="22"/>
          <w:szCs w:val="22"/>
          <w:shd w:fill="auto" w:val="clear"/>
        </w:rPr>
        <w:t>occasionne des nuisances pour l’environnement, le voisinage et est de nature à porter gravement atteinte à la salubrité publique ;</w:t>
      </w:r>
    </w:p>
    <w:p>
      <w:pPr>
        <w:pStyle w:val="Normal"/>
        <w:spacing w:before="0" w:after="28"/>
        <w:jc w:val="both"/>
        <w:rPr>
          <w:rFonts w:ascii="Times New Roman" w:hAnsi="Times New Roman"/>
          <w:b w:val="false"/>
          <w:bCs w:val="false"/>
          <w:sz w:val="22"/>
          <w:szCs w:val="22"/>
          <w:shd w:fill="auto" w:val="clear"/>
        </w:rPr>
      </w:pPr>
      <w:r>
        <w:rPr>
          <w:rFonts w:ascii="Times New Roman" w:hAnsi="Times New Roman"/>
          <w:b w:val="false"/>
          <w:bCs w:val="false"/>
          <w:sz w:val="22"/>
          <w:szCs w:val="22"/>
          <w:shd w:fill="auto" w:val="clear"/>
        </w:rPr>
      </w:r>
    </w:p>
    <w:p>
      <w:pPr>
        <w:pStyle w:val="Normal"/>
        <w:spacing w:before="0" w:after="28"/>
        <w:jc w:val="both"/>
        <w:rPr/>
      </w:pPr>
      <w:r>
        <w:rPr>
          <w:rStyle w:val="Policepardfaut"/>
          <w:rFonts w:ascii="Times New Roman" w:hAnsi="Times New Roman"/>
          <w:b/>
          <w:bCs/>
          <w:i/>
          <w:iCs/>
          <w:sz w:val="22"/>
          <w:szCs w:val="22"/>
          <w:shd w:fill="auto" w:val="clear"/>
        </w:rPr>
        <w:t>(</w:t>
      </w:r>
      <w:r>
        <w:rPr>
          <w:rStyle w:val="Policepardfaut"/>
          <w:rFonts w:ascii="Times New Roman" w:hAnsi="Times New Roman"/>
          <w:b/>
          <w:bCs/>
          <w:i/>
          <w:iCs/>
          <w:sz w:val="22"/>
          <w:szCs w:val="22"/>
          <w:shd w:fill="auto" w:val="clear"/>
        </w:rPr>
        <w:t>Le cas échéant</w:t>
      </w:r>
      <w:r>
        <w:rPr>
          <w:rStyle w:val="Policepardfaut"/>
          <w:rFonts w:ascii="Times New Roman" w:hAnsi="Times New Roman"/>
          <w:b/>
          <w:bCs/>
          <w:i/>
          <w:iCs/>
          <w:sz w:val="22"/>
          <w:szCs w:val="22"/>
          <w:shd w:fill="auto" w:val="clear"/>
        </w:rPr>
        <w:t>)</w:t>
      </w:r>
      <w:r>
        <w:rPr>
          <w:rStyle w:val="Policepardfaut"/>
          <w:rFonts w:ascii="Times New Roman" w:hAnsi="Times New Roman"/>
          <w:b/>
          <w:bCs/>
          <w:i/>
          <w:iCs/>
          <w:sz w:val="22"/>
          <w:szCs w:val="22"/>
          <w:shd w:fill="auto" w:val="clear"/>
        </w:rPr>
        <w:t> </w:t>
      </w:r>
      <w:r>
        <w:rPr>
          <w:rStyle w:val="Policepardfaut"/>
          <w:rFonts w:ascii="Times New Roman" w:hAnsi="Times New Roman"/>
          <w:b w:val="false"/>
          <w:bCs w:val="false"/>
          <w:i/>
          <w:iCs/>
          <w:sz w:val="22"/>
          <w:szCs w:val="22"/>
          <w:shd w:fill="auto" w:val="clear"/>
        </w:rPr>
        <w:t>Considérant que le manquement aux dispositions de l’arrêté municipal à un caractère répétitif ou continu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dans ces conditions, il y a lieu d’ordonner le versement d’une astreinte d’un montant de journalier de XX à compter du XX par monsieur (ou madame) ou la société </w:t>
      </w:r>
      <w:r>
        <w:rPr>
          <w:rStyle w:val="Policepardfaut"/>
          <w:rFonts w:ascii="Times New Roman" w:hAnsi="Times New Roman"/>
          <w:b/>
          <w:bCs/>
          <w:i/>
          <w:iCs/>
          <w:sz w:val="22"/>
          <w:szCs w:val="22"/>
        </w:rPr>
        <w:t xml:space="preserve">(la mentionner) </w:t>
      </w:r>
      <w:r>
        <w:rPr>
          <w:rStyle w:val="Policepardfaut"/>
          <w:rFonts w:ascii="Times New Roman" w:hAnsi="Times New Roman"/>
          <w:i/>
          <w:iCs/>
          <w:sz w:val="22"/>
          <w:szCs w:val="22"/>
        </w:rPr>
        <w:t>et ce</w:t>
      </w:r>
      <w:r>
        <w:rPr>
          <w:rStyle w:val="Policepardfaut"/>
          <w:rFonts w:ascii="Times New Roman" w:hAnsi="Times New Roman"/>
          <w:b/>
          <w:bCs/>
          <w:i/>
          <w:iCs/>
          <w:sz w:val="22"/>
          <w:szCs w:val="22"/>
        </w:rPr>
        <w:t xml:space="preserve"> </w:t>
      </w:r>
      <w:r>
        <w:rPr>
          <w:rStyle w:val="Policepardfaut"/>
          <w:rFonts w:ascii="Times New Roman" w:hAnsi="Times New Roman"/>
          <w:sz w:val="22"/>
          <w:szCs w:val="22"/>
        </w:rPr>
        <w:t>jusqu’à ce qu’il ait été satisfait aux mesures prescrites par la mise en demeure du XX.YY.20ZZ, conformément aux dispositions prévues au 4° de l’article L.541-3 du code de l’environnement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Cs/>
          <w:sz w:val="22"/>
          <w:szCs w:val="22"/>
        </w:rPr>
      </w:pPr>
      <w:r>
        <w:rPr>
          <w:rFonts w:ascii="Times New Roman" w:hAnsi="Times New Roman"/>
          <w:b/>
          <w:bCs/>
          <w:sz w:val="22"/>
          <w:szCs w:val="22"/>
        </w:rPr>
        <w:t>ARRÊTE</w:t>
      </w:r>
    </w:p>
    <w:p>
      <w:pPr>
        <w:pStyle w:val="Normal"/>
        <w:jc w:val="both"/>
        <w:rPr>
          <w:rFonts w:ascii="Times New Roman" w:hAnsi="Times New Roman"/>
          <w:b/>
          <w:bCs/>
          <w:sz w:val="22"/>
          <w:szCs w:val="22"/>
        </w:rPr>
      </w:pPr>
      <w:r>
        <w:rPr>
          <w:rFonts w:ascii="Times New Roman" w:hAnsi="Times New Roman"/>
          <w:b/>
          <w:bCs/>
          <w:sz w:val="22"/>
          <w:szCs w:val="22"/>
        </w:rPr>
      </w:r>
    </w:p>
    <w:p>
      <w:pPr>
        <w:pStyle w:val="Normal"/>
        <w:jc w:val="both"/>
        <w:rPr/>
      </w:pPr>
      <w:r>
        <w:rPr>
          <w:rStyle w:val="Policepardfaut"/>
          <w:rFonts w:ascii="Times New Roman" w:hAnsi="Times New Roman"/>
          <w:b/>
          <w:bCs/>
          <w:sz w:val="22"/>
          <w:szCs w:val="22"/>
        </w:rPr>
        <w:t>Art. 1 :</w:t>
      </w:r>
      <w:r>
        <w:rPr>
          <w:rStyle w:val="Policepardfaut"/>
          <w:rFonts w:ascii="Times New Roman" w:hAnsi="Times New Roman"/>
          <w:sz w:val="22"/>
          <w:szCs w:val="22"/>
        </w:rPr>
        <w:t xml:space="preserve">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demeurant </w:t>
      </w:r>
      <w:r>
        <w:rPr>
          <w:rStyle w:val="Policepardfaut"/>
          <w:rFonts w:ascii="Times New Roman" w:hAnsi="Times New Roman"/>
          <w:b/>
          <w:bCs/>
          <w:i/>
          <w:iCs/>
          <w:sz w:val="22"/>
          <w:szCs w:val="22"/>
        </w:rPr>
        <w:t>(a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OU dont le siège social est situé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sur la commune de (</w:t>
      </w:r>
      <w:r>
        <w:rPr>
          <w:rStyle w:val="Policepardfaut"/>
          <w:rFonts w:ascii="Times New Roman" w:hAnsi="Times New Roman"/>
          <w:b/>
          <w:bCs/>
          <w:i/>
          <w:iCs/>
          <w:sz w:val="22"/>
          <w:szCs w:val="22"/>
        </w:rPr>
        <w:t xml:space="preserve">la mentionner </w:t>
      </w:r>
      <w:r>
        <w:rPr>
          <w:rStyle w:val="Policepardfaut"/>
          <w:rFonts w:ascii="Times New Roman" w:hAnsi="Times New Roman"/>
          <w:sz w:val="22"/>
          <w:szCs w:val="22"/>
        </w:rPr>
        <w:t>est rendu(e) redevable d’une astreinte d’un montant journalier de XX (1 500 euros maximum)</w:t>
      </w:r>
      <w:r>
        <w:rPr/>
        <w:t xml:space="preserve"> </w:t>
      </w:r>
      <w:r>
        <w:rPr>
          <w:rStyle w:val="Policepardfaut"/>
          <w:rFonts w:ascii="Times New Roman" w:hAnsi="Times New Roman"/>
          <w:sz w:val="22"/>
          <w:szCs w:val="22"/>
        </w:rPr>
        <w:t>jusqu'à la pleine satisfaction de la mise en demeure en date du XX.YY.20ZZ.</w:t>
      </w:r>
    </w:p>
    <w:p>
      <w:pPr>
        <w:pStyle w:val="Normal"/>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L’astreinte est liquidée par le maire et mise en recouvrement par trimestre échu.</w:t>
      </w:r>
    </w:p>
    <w:p>
      <w:pPr>
        <w:pStyle w:val="Normal"/>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sz w:val="22"/>
          <w:szCs w:val="22"/>
        </w:rPr>
        <w:t>Art. 2 :</w:t>
      </w:r>
      <w:r>
        <w:rPr>
          <w:rStyle w:val="Policepardfaut"/>
          <w:rFonts w:ascii="Times New Roman" w:hAnsi="Times New Roman"/>
          <w:sz w:val="22"/>
          <w:szCs w:val="22"/>
        </w:rPr>
        <w:t xml:space="preserve"> </w:t>
      </w:r>
      <w:bookmarkStart w:id="3" w:name="_Hlk179225039"/>
      <w:r>
        <w:rPr>
          <w:rStyle w:val="Policepardfaut"/>
          <w:rFonts w:ascii="Times New Roman" w:hAnsi="Times New Roman"/>
          <w:sz w:val="22"/>
          <w:szCs w:val="22"/>
        </w:rPr>
        <w:t>La mise en place de l’astreinte prend effet à compter de la notification du présent arrêté et jusqu’au constat de la réalisation de toutes les mesures prescrites.</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sz w:val="22"/>
          <w:szCs w:val="22"/>
        </w:rPr>
        <w:t>Art. 3</w:t>
      </w:r>
      <w:r>
        <w:rPr>
          <w:rStyle w:val="Policepardfaut"/>
          <w:rFonts w:ascii="Times New Roman" w:hAnsi="Times New Roman"/>
          <w:sz w:val="22"/>
          <w:szCs w:val="22"/>
        </w:rPr>
        <w:t xml:space="preserve"> : Conformément aux dispositions de l’article R. 421-1 du code de la justice administrative, cette décision </w:t>
      </w:r>
      <w:bookmarkEnd w:id="3"/>
      <w:r>
        <w:rPr>
          <w:rStyle w:val="Policepardfaut"/>
          <w:rFonts w:ascii="Times New Roman" w:hAnsi="Times New Roman"/>
          <w:sz w:val="22"/>
          <w:szCs w:val="22"/>
        </w:rPr>
        <w:t>peut faire l’objet d’un recours contentieux devant le tribunal administratif de (</w:t>
      </w:r>
      <w:r>
        <w:rPr>
          <w:rStyle w:val="Policepardfaut"/>
          <w:rFonts w:ascii="Times New Roman" w:hAnsi="Times New Roman"/>
          <w:b/>
          <w:bCs/>
          <w:i/>
          <w:iCs/>
          <w:sz w:val="22"/>
          <w:szCs w:val="22"/>
        </w:rPr>
        <w:t>mentionner le tribunal compétent)</w:t>
      </w:r>
      <w:r>
        <w:rPr>
          <w:rStyle w:val="Policepardfaut"/>
          <w:rFonts w:ascii="Times New Roman" w:hAnsi="Times New Roman"/>
          <w:sz w:val="22"/>
          <w:szCs w:val="22"/>
        </w:rPr>
        <w:t>, dans le délai de deux mois à compter de sa notification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lineRule="auto" w:line="276" w:before="0" w:after="28"/>
        <w:ind w:left="1020" w:right="0" w:hanging="1020"/>
        <w:jc w:val="both"/>
        <w:rPr/>
      </w:pPr>
      <w:bookmarkStart w:id="4" w:name="_Hlk179228515"/>
      <w:r>
        <w:rPr>
          <w:rStyle w:val="Policepardfaut"/>
          <w:rFonts w:ascii="Times New Roman" w:hAnsi="Times New Roman"/>
          <w:b/>
          <w:bCs/>
          <w:color w:val="000000"/>
          <w:sz w:val="22"/>
          <w:szCs w:val="22"/>
        </w:rPr>
        <w:t xml:space="preserve">Art. 4 : </w:t>
      </w:r>
      <w:r>
        <w:rPr>
          <w:rStyle w:val="Policepardfaut"/>
          <w:rFonts w:ascii="Times New Roman" w:hAnsi="Times New Roman"/>
          <w:color w:val="000000"/>
          <w:sz w:val="22"/>
          <w:szCs w:val="22"/>
        </w:rPr>
        <w:t xml:space="preserve">Le présent arrêté sera notifié à monsieur (ou madame) ou la société </w:t>
      </w:r>
      <w:r>
        <w:rPr>
          <w:rStyle w:val="Policepardfaut"/>
          <w:rFonts w:ascii="Times New Roman" w:hAnsi="Times New Roman"/>
          <w:b/>
          <w:bCs/>
          <w:i/>
          <w:iCs/>
          <w:color w:val="000000"/>
          <w:sz w:val="22"/>
          <w:szCs w:val="22"/>
        </w:rPr>
        <w:t>(la mentionner)</w:t>
      </w:r>
      <w:r>
        <w:rPr>
          <w:rStyle w:val="Policepardfaut"/>
          <w:rFonts w:ascii="Times New Roman" w:hAnsi="Times New Roman"/>
          <w:color w:val="000000"/>
          <w:sz w:val="22"/>
          <w:szCs w:val="22"/>
        </w:rPr>
        <w:t>.</w:t>
      </w:r>
      <w:bookmarkEnd w:id="4"/>
    </w:p>
    <w:p>
      <w:pPr>
        <w:pStyle w:val="Normal"/>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b/>
          <w:bCs/>
          <w:sz w:val="22"/>
          <w:szCs w:val="22"/>
        </w:rPr>
        <w:t>Art. 5 </w:t>
      </w:r>
      <w:r>
        <w:rPr>
          <w:rStyle w:val="Policepardfaut"/>
          <w:rFonts w:ascii="Times New Roman" w:hAnsi="Times New Roman"/>
          <w:sz w:val="22"/>
          <w:szCs w:val="22"/>
        </w:rPr>
        <w:t xml:space="preserve">: Le maire de </w:t>
      </w:r>
      <w:r>
        <w:rPr>
          <w:rStyle w:val="Policepardfaut"/>
          <w:rFonts w:ascii="Times New Roman" w:hAnsi="Times New Roman"/>
          <w:b/>
          <w:bCs/>
          <w:i/>
          <w:iCs/>
          <w:sz w:val="22"/>
          <w:szCs w:val="22"/>
        </w:rPr>
        <w:t>XXXXX</w:t>
      </w:r>
      <w:r>
        <w:rPr>
          <w:rStyle w:val="Policepardfaut"/>
          <w:rFonts w:ascii="Times New Roman" w:hAnsi="Times New Roman"/>
          <w:sz w:val="22"/>
          <w:szCs w:val="22"/>
        </w:rPr>
        <w:t xml:space="preserve"> est chargé de l’exécution du présent arrêté, dont une copie est transmise à la direction départementale des finances publiques.</w:t>
      </w:r>
    </w:p>
    <w:p>
      <w:pPr>
        <w:pStyle w:val="Normal"/>
        <w:spacing w:before="0" w:after="28"/>
        <w:jc w:val="both"/>
        <w:rPr>
          <w:rFonts w:ascii="Times New Roman" w:hAnsi="Times New Roman"/>
          <w:color w:val="000000"/>
          <w:sz w:val="22"/>
          <w:szCs w:val="22"/>
        </w:rPr>
      </w:pPr>
      <w:r>
        <w:rPr>
          <w:rFonts w:ascii="Times New Roman" w:hAnsi="Times New Roman"/>
          <w:color w:val="000000"/>
          <w:sz w:val="22"/>
          <w:szCs w:val="22"/>
        </w:rPr>
      </w:r>
    </w:p>
    <w:p>
      <w:pPr>
        <w:pStyle w:val="BodyText"/>
        <w:tabs>
          <w:tab w:val="clear" w:pos="709"/>
        </w:tabs>
        <w:spacing w:before="247" w:after="0"/>
        <w:ind w:left="1134" w:right="57" w:hanging="1134"/>
        <w:jc w:val="right"/>
        <w:rPr/>
      </w:pPr>
      <w:r>
        <w:rPr>
          <w:rStyle w:val="Policepardfaut"/>
          <w:rFonts w:ascii="Times New Roman" w:hAnsi="Times New Roman"/>
          <w:b/>
          <w:bCs/>
          <w:color w:val="000000"/>
          <w:sz w:val="22"/>
          <w:szCs w:val="22"/>
        </w:rPr>
        <w:t>Tampon et signature du maire</w:t>
      </w:r>
    </w:p>
    <w:p>
      <w:pPr>
        <w:pStyle w:val="BodyText"/>
        <w:tabs>
          <w:tab w:val="clear" w:pos="709"/>
        </w:tabs>
        <w:spacing w:before="247" w:after="0"/>
        <w:ind w:left="1134" w:right="57" w:hanging="1134"/>
        <w:jc w:val="center"/>
        <w:rPr>
          <w:rFonts w:ascii="Times New Roman" w:hAnsi="Times New Roman"/>
          <w:b/>
          <w:bCs/>
          <w:color w:val="FF0000"/>
          <w:sz w:val="22"/>
          <w:szCs w:val="22"/>
        </w:rPr>
      </w:pPr>
      <w:r>
        <w:rPr>
          <w:rFonts w:ascii="Times New Roman" w:hAnsi="Times New Roman"/>
          <w:b/>
          <w:bCs/>
          <w:color w:val="FF0000"/>
          <w:sz w:val="22"/>
          <w:szCs w:val="22"/>
        </w:rPr>
        <w:t>NE PAS OUBLIER DE TRANSMETTRE L’ARRÊTÉ AU CONTRÔLE DE LÉGALITÉ</w:t>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t>Pour aller plus loin et comprendre l’arrêté :</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DE L’ENVIRONNEMENT</w:t>
      </w:r>
    </w:p>
    <w:p>
      <w:pPr>
        <w:pStyle w:val="BodyText"/>
        <w:jc w:val="both"/>
        <w:rPr/>
      </w:pPr>
      <w:r>
        <w:rPr>
          <w:rStyle w:val="Policepardfaut"/>
          <w:rFonts w:ascii="Times New Roman" w:hAnsi="Times New Roman"/>
          <w:b/>
          <w:bCs/>
          <w:color w:val="000000"/>
          <w:sz w:val="22"/>
          <w:szCs w:val="22"/>
        </w:rPr>
        <w:t>Art. L. 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color w:val="000000"/>
          <w:sz w:val="22"/>
          <w:szCs w:val="22"/>
        </w:rPr>
      </w:pPr>
      <w:r>
        <w:rPr>
          <w:rFonts w:ascii="Times New Roman" w:hAnsi="Times New Roman"/>
          <w:color w:val="000000"/>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color w:val="000000"/>
          <w:sz w:val="22"/>
          <w:szCs w:val="22"/>
        </w:rPr>
      </w:pPr>
      <w:r>
        <w:rPr>
          <w:rFonts w:ascii="Times New Roman" w:hAnsi="Times New Roman"/>
          <w:color w:val="000000"/>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color w:val="000000"/>
          <w:sz w:val="22"/>
          <w:szCs w:val="22"/>
        </w:rPr>
      </w:pPr>
      <w:r>
        <w:rPr>
          <w:rFonts w:ascii="Times New Roman" w:hAnsi="Times New Roman"/>
          <w:color w:val="000000"/>
          <w:sz w:val="22"/>
          <w:szCs w:val="22"/>
        </w:rPr>
        <w:t>Cette somme bénéficie d'un privilège de même rang que celui prévu à l'article 1920 du code général des impôts. Il est procédé à son recouvrement comme en matière de créances de l’État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color w:val="000000"/>
          <w:sz w:val="22"/>
          <w:szCs w:val="22"/>
        </w:rPr>
      </w:pPr>
      <w:r>
        <w:rPr>
          <w:rFonts w:ascii="Times New Roman" w:hAnsi="Times New Roman"/>
          <w:color w:val="000000"/>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color w:val="000000"/>
          <w:sz w:val="22"/>
          <w:szCs w:val="22"/>
        </w:rPr>
      </w:pPr>
      <w:r>
        <w:rPr>
          <w:rFonts w:ascii="Times New Roman" w:hAnsi="Times New Roman"/>
          <w:color w:val="000000"/>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color w:val="000000"/>
          <w:sz w:val="22"/>
          <w:szCs w:val="22"/>
        </w:rPr>
      </w:pPr>
      <w:r>
        <w:rPr>
          <w:rFonts w:ascii="Times New Roman" w:hAnsi="Times New Roman"/>
          <w:color w:val="000000"/>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color w:val="000000"/>
          <w:sz w:val="22"/>
          <w:szCs w:val="22"/>
        </w:rPr>
      </w:pPr>
      <w:r>
        <w:rPr>
          <w:rFonts w:ascii="Times New Roman" w:hAnsi="Times New Roman"/>
          <w:color w:val="000000"/>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color w:val="000000"/>
          <w:sz w:val="22"/>
          <w:szCs w:val="22"/>
        </w:rPr>
      </w:pPr>
      <w:r>
        <w:rPr>
          <w:rFonts w:ascii="Times New Roman" w:hAnsi="Times New Roman"/>
          <w:color w:val="000000"/>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color w:val="000000"/>
          <w:sz w:val="22"/>
          <w:szCs w:val="22"/>
        </w:rPr>
      </w:pPr>
      <w:r>
        <w:rPr>
          <w:rFonts w:ascii="Times New Roman" w:hAnsi="Times New Roman"/>
          <w:color w:val="000000"/>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color w:val="000000"/>
          <w:sz w:val="22"/>
          <w:szCs w:val="22"/>
        </w:rPr>
      </w:pPr>
      <w:r>
        <w:rPr>
          <w:rFonts w:ascii="Times New Roman" w:hAnsi="Times New Roman"/>
          <w:color w:val="000000"/>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color w:val="000000"/>
          <w:sz w:val="22"/>
          <w:szCs w:val="22"/>
        </w:rPr>
      </w:pPr>
      <w:r>
        <w:rPr>
          <w:rFonts w:ascii="Times New Roman" w:hAnsi="Times New Roman"/>
          <w:color w:val="000000"/>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color w:val="000000"/>
          <w:sz w:val="22"/>
          <w:szCs w:val="22"/>
        </w:rPr>
      </w:pPr>
      <w:r>
        <w:rPr>
          <w:rFonts w:ascii="Times New Roman" w:hAnsi="Times New Roman"/>
          <w:color w:val="000000"/>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color w:val="000000"/>
          <w:sz w:val="22"/>
          <w:szCs w:val="22"/>
        </w:rPr>
      </w:pPr>
      <w:r>
        <w:rPr>
          <w:rFonts w:ascii="Times New Roman" w:hAnsi="Times New Roman"/>
          <w:color w:val="000000"/>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color w:val="000000"/>
          <w:sz w:val="22"/>
          <w:szCs w:val="22"/>
        </w:rPr>
      </w:pPr>
      <w:r>
        <w:rPr>
          <w:rFonts w:ascii="Times New Roman" w:hAnsi="Times New Roman"/>
          <w:color w:val="000000"/>
          <w:sz w:val="22"/>
          <w:szCs w:val="22"/>
        </w:rPr>
        <w:t>VI.-Les amendes administratives et l'astreinte journalière mentionnées au I sont recouvrées au bénéfice :</w:t>
      </w:r>
    </w:p>
    <w:p>
      <w:pPr>
        <w:pStyle w:val="BodyText"/>
        <w:jc w:val="both"/>
        <w:rPr>
          <w:rFonts w:ascii="Times New Roman" w:hAnsi="Times New Roman"/>
          <w:color w:val="000000"/>
          <w:sz w:val="22"/>
          <w:szCs w:val="22"/>
        </w:rPr>
      </w:pPr>
      <w:r>
        <w:rPr>
          <w:rFonts w:ascii="Times New Roman" w:hAnsi="Times New Roman"/>
          <w:color w:val="000000"/>
          <w:sz w:val="22"/>
          <w:szCs w:val="22"/>
        </w:rPr>
        <w:t>1° De la commune, lorsque l'autorité titulaire du pouvoir de police compétente mentionnée au même I est le maire ;</w:t>
      </w:r>
    </w:p>
    <w:p>
      <w:pPr>
        <w:pStyle w:val="BodyText"/>
        <w:jc w:val="both"/>
        <w:rPr>
          <w:rFonts w:ascii="Times New Roman" w:hAnsi="Times New Roman"/>
          <w:color w:val="000000"/>
          <w:sz w:val="22"/>
          <w:szCs w:val="22"/>
        </w:rPr>
      </w:pPr>
      <w:r>
        <w:rPr>
          <w:rFonts w:ascii="Times New Roman" w:hAnsi="Times New Roman"/>
          <w:color w:val="000000"/>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spacing w:before="0" w:after="0"/>
        <w:jc w:val="both"/>
        <w:rPr>
          <w:rFonts w:ascii="Times New Roman" w:hAnsi="Times New Roman"/>
          <w:color w:val="000000"/>
          <w:sz w:val="22"/>
          <w:szCs w:val="22"/>
        </w:rPr>
      </w:pPr>
      <w:r>
        <w:rPr>
          <w:rFonts w:ascii="Times New Roman" w:hAnsi="Times New Roman"/>
          <w:color w:val="000000"/>
          <w:sz w:val="22"/>
          <w:szCs w:val="22"/>
        </w:rPr>
        <w:t>3° De la collectivité de Saint-Martin, lorsque l'autorité titulaire du pouvoir de police compétente mentionnée au I du présent article est le président du conseil territorial de Saint-Martin.</w:t>
      </w:r>
    </w:p>
    <w:p>
      <w:pPr>
        <w:pStyle w:val="BodyText"/>
        <w:spacing w:before="0" w:after="0"/>
        <w:jc w:val="both"/>
        <w:rPr/>
      </w:pPr>
      <w:r>
        <w:rPr>
          <w:rStyle w:val="Policepardfaut"/>
          <w:rFonts w:ascii="Times New Roman" w:hAnsi="Times New Roman"/>
          <w:color w:val="000000"/>
          <w:sz w:val="22"/>
          <w:szCs w:val="22"/>
        </w:rPr>
        <w:t>(</w:t>
      </w:r>
      <w:hyperlink r:id="rId2" w:tgtFrame="_top">
        <w:r>
          <w:rPr>
            <w:rStyle w:val="Hyperlink"/>
          </w:rPr>
          <w:t>https://www.legifrance.gouv.fr/codes/article_lc/LEGIARTI000048247402</w:t>
        </w:r>
      </w:hyperlink>
      <w:r>
        <w:rPr>
          <w:rStyle w:val="Policepardfaut"/>
          <w:rFonts w:ascii="Times New Roman" w:hAnsi="Times New Roman"/>
          <w:color w:val="000000"/>
          <w:sz w:val="22"/>
          <w:szCs w:val="22"/>
        </w:rPr>
        <w:t>)</w:t>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lineRule="auto" w:line="240"/>
        <w:jc w:val="both"/>
        <w:rPr>
          <w:rFonts w:ascii="Times New Roman" w:hAnsi="Times New Roman"/>
          <w:b/>
          <w:bCs/>
          <w:color w:val="000000"/>
          <w:sz w:val="22"/>
          <w:szCs w:val="22"/>
        </w:rPr>
      </w:pPr>
      <w:r>
        <w:rPr>
          <w:rFonts w:ascii="Times New Roman" w:hAnsi="Times New Roman"/>
          <w:b/>
          <w:bCs/>
          <w:color w:val="000000"/>
          <w:sz w:val="22"/>
          <w:szCs w:val="22"/>
        </w:rPr>
        <w:t>CODE GÉNÉRAL DES COLLECTIVITÉS TERRITORIALES :</w:t>
      </w:r>
    </w:p>
    <w:p>
      <w:pPr>
        <w:pStyle w:val="BodyText"/>
        <w:spacing w:lineRule="auto" w:line="240" w:before="0" w:after="0"/>
        <w:jc w:val="both"/>
        <w:rPr/>
      </w:pPr>
      <w:r>
        <w:rPr>
          <w:rStyle w:val="Policepardfaut"/>
          <w:rFonts w:ascii="Times New Roman" w:hAnsi="Times New Roman"/>
          <w:b/>
          <w:bCs/>
          <w:color w:val="000000"/>
          <w:sz w:val="22"/>
          <w:szCs w:val="22"/>
        </w:rPr>
        <w:t xml:space="preserve">Art. </w:t>
      </w:r>
      <w:bookmarkStart w:id="5" w:name="LEGIARTI000006390149-1"/>
      <w:bookmarkEnd w:id="5"/>
      <w:r>
        <w:rPr>
          <w:rStyle w:val="Policepardfaut"/>
          <w:rFonts w:ascii="Times New Roman" w:hAnsi="Times New Roman"/>
          <w:b/>
          <w:bCs/>
          <w:color w:val="000000"/>
          <w:sz w:val="22"/>
          <w:szCs w:val="22"/>
        </w:rPr>
        <w:t xml:space="preserve">L. 2212-1 : </w:t>
      </w:r>
      <w:r>
        <w:rPr>
          <w:rStyle w:val="Policepardfaut"/>
          <w:rFonts w:ascii="Times New Roman" w:hAnsi="Times New Roman"/>
          <w:sz w:val="22"/>
          <w:szCs w:val="22"/>
        </w:rPr>
        <w:t>Le maire est chargé, sous le contrôle administratif du représentant de l'Etat dans le département, de la police municipale, de la police rurale et de l'exécution des actes de l'Etat qui y sont relatifs.</w:t>
      </w:r>
    </w:p>
    <w:p>
      <w:pPr>
        <w:pStyle w:val="BodyText"/>
        <w:spacing w:lineRule="auto" w:line="240" w:before="0" w:after="0"/>
        <w:jc w:val="both"/>
        <w:rPr/>
      </w:pPr>
      <w:r>
        <w:rPr>
          <w:rStyle w:val="Policepardfaut"/>
          <w:rFonts w:ascii="Times New Roman" w:hAnsi="Times New Roman"/>
          <w:sz w:val="22"/>
          <w:szCs w:val="22"/>
        </w:rPr>
        <w:t>(</w:t>
      </w:r>
      <w:hyperlink r:id="rId3" w:tgtFrame="_top">
        <w:r>
          <w:rPr>
            <w:rStyle w:val="Hyperlink"/>
            <w:rFonts w:ascii="Times New Roman" w:hAnsi="Times New Roman"/>
            <w:sz w:val="22"/>
            <w:szCs w:val="22"/>
          </w:rPr>
          <w:t>https://www.legifrance.gouv.fr/codes/article_lc/LEGIARTI000006390149</w:t>
        </w:r>
      </w:hyperlink>
      <w:r>
        <w:rPr>
          <w:rStyle w:val="Policepardfaut"/>
          <w:rFonts w:ascii="Times New Roman" w:hAnsi="Times New Roman"/>
          <w:sz w:val="22"/>
          <w:szCs w:val="22"/>
        </w:rPr>
        <w:t>)</w:t>
      </w:r>
    </w:p>
    <w:p>
      <w:pPr>
        <w:pStyle w:val="BodyText"/>
        <w:spacing w:lineRule="auto" w:line="240" w:before="0" w:after="0"/>
        <w:jc w:val="both"/>
        <w:rPr>
          <w:rFonts w:ascii="Times New Roman" w:hAnsi="Times New Roman"/>
          <w:sz w:val="22"/>
          <w:szCs w:val="22"/>
        </w:rPr>
      </w:pPr>
      <w:r>
        <w:rPr>
          <w:rFonts w:ascii="Times New Roman" w:hAnsi="Times New Roman"/>
          <w:sz w:val="22"/>
          <w:szCs w:val="22"/>
        </w:rPr>
      </w:r>
    </w:p>
    <w:p>
      <w:pPr>
        <w:pStyle w:val="BodyText"/>
        <w:spacing w:lineRule="auto" w:line="240"/>
        <w:jc w:val="both"/>
        <w:rPr/>
      </w:pPr>
      <w:r>
        <w:rPr>
          <w:rStyle w:val="Policepardfaut"/>
          <w:rFonts w:ascii="Times New Roman" w:hAnsi="Times New Roman"/>
          <w:b/>
          <w:bCs/>
          <w:sz w:val="22"/>
          <w:szCs w:val="22"/>
        </w:rPr>
        <w:t>Art. L . 2212-2 :</w:t>
      </w:r>
      <w:r>
        <w:rPr>
          <w:rStyle w:val="Policepardfaut"/>
          <w:rFonts w:ascii="Times New Roman" w:hAnsi="Times New Roman"/>
          <w:sz w:val="22"/>
          <w:szCs w:val="22"/>
        </w:rPr>
        <w:t xml:space="preserve"> La police municipale a pour objet d'assurer le bon ordre, la sûreté, la sécurité et la salubrité publiques. Elle comprend notamment :</w:t>
      </w:r>
    </w:p>
    <w:p>
      <w:pPr>
        <w:pStyle w:val="BodyText"/>
        <w:spacing w:lineRule="auto" w:line="240"/>
        <w:jc w:val="both"/>
        <w:rPr>
          <w:rFonts w:ascii="Times New Roman" w:hAnsi="Times New Roman"/>
          <w:sz w:val="22"/>
          <w:szCs w:val="22"/>
        </w:rPr>
      </w:pPr>
      <w:r>
        <w:rPr>
          <w:rFonts w:ascii="Times New Roman" w:hAnsi="Times New Roman"/>
          <w:sz w:val="22"/>
          <w:szCs w:val="22"/>
        </w:rPr>
        <w:t>1° Tout ce qui intéresse la sûreté et la commodité du passage dans les rues, quais, places et voies publiques, ce qui comprend le nettoiement, l'éclairage, l'enlèvement des encombrements, la démolition ou la réparation des édifices et monuments funéraires menaçant ruine, l'interdiction de rien exposer aux fenêtres ou autres parties des édifices qui puisse nuire par sa chute ou celle de rien jeter qui puisse endommager les passants ou causer des exhalaisons nuisibles ainsi que le soin de réprimer les dépôts, déversements, déjections, projections de toute matière ou objet de nature à nuire, en quelque manière que ce soit, à la sûreté ou à la commodité du passage ou à la propreté des voies susmentionnées ;</w:t>
      </w:r>
    </w:p>
    <w:p>
      <w:pPr>
        <w:pStyle w:val="BodyText"/>
        <w:spacing w:lineRule="auto" w:line="240"/>
        <w:jc w:val="both"/>
        <w:rPr>
          <w:rFonts w:ascii="Times New Roman" w:hAnsi="Times New Roman"/>
          <w:sz w:val="22"/>
          <w:szCs w:val="22"/>
        </w:rPr>
      </w:pPr>
      <w:r>
        <w:rPr>
          <w:rFonts w:ascii="Times New Roman" w:hAnsi="Times New Roman"/>
          <w:sz w:val="22"/>
          <w:szCs w:val="22"/>
        </w:rPr>
        <w:t>2° Le soin de réprimer les atteintes à la tranquillité publique telles que les rixes et disputes accompagnées d'ameutement dans les rues, le tumulte excité dans les lieux d'assemblée publique, les attroupements, les bruits, les troubles de voisinage, les rassemblements nocturnes qui troublent le repos des habitants et tous actes de nature à compromettre la tranquillité publique ;</w:t>
      </w:r>
    </w:p>
    <w:p>
      <w:pPr>
        <w:pStyle w:val="BodyText"/>
        <w:spacing w:lineRule="auto" w:line="240"/>
        <w:jc w:val="both"/>
        <w:rPr>
          <w:rFonts w:ascii="Times New Roman" w:hAnsi="Times New Roman"/>
          <w:sz w:val="22"/>
          <w:szCs w:val="22"/>
        </w:rPr>
      </w:pPr>
      <w:r>
        <w:rPr>
          <w:rFonts w:ascii="Times New Roman" w:hAnsi="Times New Roman"/>
          <w:sz w:val="22"/>
          <w:szCs w:val="22"/>
        </w:rPr>
        <w:t>3° Le maintien du bon ordre dans les endroits où il se fait de grands rassemblements d'hommes, tels que les foires, marchés, réjouissances et cérémonies publiques, spectacles, jeux, cafés, églises et autres lieux publics ;</w:t>
      </w:r>
    </w:p>
    <w:p>
      <w:pPr>
        <w:pStyle w:val="BodyText"/>
        <w:spacing w:lineRule="auto" w:line="240"/>
        <w:jc w:val="both"/>
        <w:rPr>
          <w:rFonts w:ascii="Times New Roman" w:hAnsi="Times New Roman"/>
          <w:sz w:val="22"/>
          <w:szCs w:val="22"/>
        </w:rPr>
      </w:pPr>
      <w:r>
        <w:rPr>
          <w:rFonts w:ascii="Times New Roman" w:hAnsi="Times New Roman"/>
          <w:sz w:val="22"/>
          <w:szCs w:val="22"/>
        </w:rPr>
        <w:t>4° L'inspection sur la fidélité du débit des denrées qui se vendent au poids ou à la mesure et sur la salubrité des comestibles exposés en vue de la vente ;</w:t>
      </w:r>
    </w:p>
    <w:p>
      <w:pPr>
        <w:pStyle w:val="BodyText"/>
        <w:spacing w:lineRule="auto" w:line="240"/>
        <w:jc w:val="both"/>
        <w:rPr>
          <w:rFonts w:ascii="Times New Roman" w:hAnsi="Times New Roman"/>
          <w:sz w:val="22"/>
          <w:szCs w:val="22"/>
        </w:rPr>
      </w:pPr>
      <w:r>
        <w:rPr>
          <w:rFonts w:ascii="Times New Roman" w:hAnsi="Times New Roman"/>
          <w:sz w:val="22"/>
          <w:szCs w:val="22"/>
        </w:rPr>
        <w:t>5° Le soin de prévenir, par des précautions convenables, et de faire cesser, par la distribution des secours nécessaires, les accidents et les fléaux calamiteux ainsi que les pollutions de toute nature, tels que les incendies, les inondations, les ruptures de digues, les éboulements de terre ou de rochers, les avalanches ou autres accidents naturels, les maladies épidémiques ou contagieuses, les épizooties, de pourvoir d'urgence à toutes les mesures d'assistance et de secours et, s'il y a lieu, de provoquer l'intervention de l'administration supérieure ;</w:t>
      </w:r>
    </w:p>
    <w:p>
      <w:pPr>
        <w:pStyle w:val="BodyText"/>
        <w:spacing w:lineRule="auto" w:line="240"/>
        <w:jc w:val="both"/>
        <w:rPr>
          <w:rFonts w:ascii="Times New Roman" w:hAnsi="Times New Roman"/>
          <w:sz w:val="22"/>
          <w:szCs w:val="22"/>
        </w:rPr>
      </w:pPr>
      <w:r>
        <w:rPr>
          <w:rFonts w:ascii="Times New Roman" w:hAnsi="Times New Roman"/>
          <w:sz w:val="22"/>
          <w:szCs w:val="22"/>
        </w:rPr>
        <w:t>6° Le soin de prendre provisoirement les mesures nécessaires contre les personnes atteintes de troubles mentaux dont l'état pourrait compromettre la morale publique, la sécurité des personnes ou la conservation des propriétés ;</w:t>
      </w:r>
    </w:p>
    <w:p>
      <w:pPr>
        <w:pStyle w:val="BodyText"/>
        <w:spacing w:lineRule="auto" w:line="240" w:before="0" w:after="0"/>
        <w:jc w:val="both"/>
        <w:rPr>
          <w:rFonts w:ascii="Times New Roman" w:hAnsi="Times New Roman"/>
          <w:sz w:val="22"/>
          <w:szCs w:val="22"/>
        </w:rPr>
      </w:pPr>
      <w:r>
        <w:rPr>
          <w:rFonts w:ascii="Times New Roman" w:hAnsi="Times New Roman"/>
          <w:sz w:val="22"/>
          <w:szCs w:val="22"/>
        </w:rPr>
        <w:t>7° Le soin d'obvier ou de remédier aux événements fâcheux qui pourraient être occasionnés par la divagation des animaux malfaisants ou féroces.</w:t>
      </w:r>
    </w:p>
    <w:p>
      <w:pPr>
        <w:pStyle w:val="BodyText"/>
        <w:spacing w:lineRule="auto" w:line="240" w:before="0" w:after="0"/>
        <w:jc w:val="both"/>
        <w:rPr/>
      </w:pPr>
      <w:r>
        <w:rPr>
          <w:rStyle w:val="Policepardfaut"/>
          <w:rFonts w:ascii="Times New Roman" w:hAnsi="Times New Roman"/>
          <w:sz w:val="22"/>
          <w:szCs w:val="22"/>
        </w:rPr>
        <w:t>(</w:t>
      </w:r>
      <w:hyperlink r:id="rId4" w:tgtFrame="_top">
        <w:r>
          <w:rPr>
            <w:rStyle w:val="Hyperlink"/>
            <w:rFonts w:ascii="Times New Roman" w:hAnsi="Times New Roman"/>
            <w:sz w:val="22"/>
            <w:szCs w:val="22"/>
          </w:rPr>
          <w:t>https://www.legifrance.gouv.fr/codes/article_lc/LEGIARTI00002994637</w:t>
        </w:r>
      </w:hyperlink>
      <w:r>
        <w:rPr>
          <w:rStyle w:val="Policepardfaut"/>
          <w:rFonts w:ascii="Times New Roman" w:hAnsi="Times New Roman"/>
          <w:sz w:val="22"/>
          <w:szCs w:val="22"/>
        </w:rPr>
        <w:t>)</w:t>
      </w:r>
    </w:p>
    <w:p>
      <w:pPr>
        <w:pStyle w:val="BodyText"/>
        <w:spacing w:lineRule="auto" w:line="240"/>
        <w:jc w:val="both"/>
        <w:rPr>
          <w:rFonts w:ascii="Times New Roman" w:hAnsi="Times New Roman"/>
          <w:sz w:val="22"/>
          <w:szCs w:val="22"/>
        </w:rPr>
      </w:pPr>
      <w:r>
        <w:rPr>
          <w:rFonts w:ascii="Times New Roman" w:hAnsi="Times New Roman"/>
          <w:sz w:val="22"/>
          <w:szCs w:val="22"/>
        </w:rPr>
      </w:r>
    </w:p>
    <w:p>
      <w:pPr>
        <w:pStyle w:val="BodyText"/>
        <w:spacing w:lineRule="auto" w:line="240"/>
        <w:jc w:val="both"/>
        <w:rPr/>
      </w:pPr>
      <w:r>
        <w:rPr>
          <w:rStyle w:val="Policepardfaut"/>
          <w:rFonts w:ascii="Times New Roman" w:hAnsi="Times New Roman"/>
          <w:b/>
          <w:bCs/>
          <w:sz w:val="22"/>
          <w:szCs w:val="22"/>
        </w:rPr>
        <w:t>Art. L. 2224-13 :</w:t>
      </w:r>
      <w:r>
        <w:rPr>
          <w:rStyle w:val="Policepardfaut"/>
          <w:rFonts w:ascii="Times New Roman" w:hAnsi="Times New Roman"/>
          <w:sz w:val="22"/>
          <w:szCs w:val="22"/>
        </w:rPr>
        <w:t xml:space="preserve"> Les communes, la métropole de Lyon ou les établissements publics de coopération intercommunale assurent, éventuellement en liaison avec les départements et les régions, la collecte et le traitement des déchets des ménages.</w:t>
      </w:r>
    </w:p>
    <w:p>
      <w:pPr>
        <w:pStyle w:val="BodyText"/>
        <w:spacing w:lineRule="auto" w:line="240"/>
        <w:jc w:val="both"/>
        <w:rPr>
          <w:rFonts w:ascii="Times New Roman" w:hAnsi="Times New Roman"/>
          <w:sz w:val="22"/>
          <w:szCs w:val="22"/>
        </w:rPr>
      </w:pPr>
      <w:r>
        <w:rPr>
          <w:rFonts w:ascii="Times New Roman" w:hAnsi="Times New Roman"/>
          <w:sz w:val="22"/>
          <w:szCs w:val="22"/>
        </w:rPr>
        <w:t>Les communes peuvent transférer à un établissement public de coopération intercommunale ou à un syndicat mixte soit l'ensemble de la compétence de collecte et de traitement des déchets des ménages, soit la partie de cette compétence comprenant le traitement, ainsi que les opérations de transport qui s'y rapportent. Les opérations de transport, de transit ou de regroupement qui se situent à la jonction de la collecte et du traitement peuvent être intégrées à l'une ou l'autre de ces deux missions.</w:t>
      </w:r>
    </w:p>
    <w:p>
      <w:pPr>
        <w:pStyle w:val="BodyText"/>
        <w:spacing w:lineRule="auto" w:line="240"/>
        <w:jc w:val="both"/>
        <w:rPr>
          <w:rFonts w:ascii="Times New Roman" w:hAnsi="Times New Roman"/>
          <w:sz w:val="22"/>
          <w:szCs w:val="22"/>
        </w:rPr>
      </w:pPr>
      <w:r>
        <w:rPr>
          <w:rFonts w:ascii="Times New Roman" w:hAnsi="Times New Roman"/>
          <w:sz w:val="22"/>
          <w:szCs w:val="22"/>
        </w:rPr>
        <w:t>A la demande des communes et des établissements publics de coopération intercommunale qui le souhaitent, le département peut se voir confier la responsabilité du traitement et des opérations de transport qui s'y rapportent. Les opérations de transport, de transit ou de regroupement qui se situent à la jonction de la collecte et du traitement peuvent être intégrées à l'une ou l'autre de ces deux missions. Le département et la commune ou l'établissement public de coopération intercommunale déterminent par convention les modalités, notamment financières, de transfert des biens nécessaires à l'exercice de la partie du service confiée au département et précisent les équipements pour lesquels la maîtrise d'ouvrage est confiée au département.</w:t>
      </w:r>
    </w:p>
    <w:p>
      <w:pPr>
        <w:pStyle w:val="BodyText"/>
        <w:spacing w:lineRule="auto" w:line="240"/>
        <w:jc w:val="both"/>
        <w:rPr/>
      </w:pPr>
      <w:r>
        <w:rPr>
          <w:rStyle w:val="Policepardfaut"/>
          <w:rFonts w:ascii="Times New Roman" w:hAnsi="Times New Roman"/>
          <w:sz w:val="22"/>
          <w:szCs w:val="22"/>
        </w:rPr>
        <w:t>Les collectivités territoriales et leurs groupements compétents pour la collecte et le traitement des déchets des ménages ont l'obligation de permettre, par contrat ou par convention, aux personnes morales relevant de l'économie sociale, solidaire et circulaire qui en font la demande d'utiliser les déchetteries communales comme lieux de récupération ponctuelle et de retraitement d'objets en bon état ou réparables. Les déchetteries sont tenues de prévoir une zone de dépôt destinée aux produits pouvant être réemployés. (</w:t>
      </w:r>
      <w:hyperlink r:id="rId5" w:tgtFrame="_top">
        <w:r>
          <w:rPr>
            <w:rStyle w:val="Hyperlink"/>
            <w:rFonts w:ascii="Times New Roman" w:hAnsi="Times New Roman"/>
            <w:sz w:val="22"/>
            <w:szCs w:val="22"/>
          </w:rPr>
          <w:t>https://www.legifrance.gouv.fr/codes/article_lc/LEGIARTI000041598995</w:t>
        </w:r>
      </w:hyperlink>
      <w:r>
        <w:rPr>
          <w:rStyle w:val="Policepardfaut"/>
          <w:rFonts w:ascii="Times New Roman" w:hAnsi="Times New Roman"/>
          <w:sz w:val="22"/>
          <w:szCs w:val="22"/>
        </w:rPr>
        <w:t>)</w:t>
      </w:r>
    </w:p>
    <w:p>
      <w:pPr>
        <w:pStyle w:val="BodyText"/>
        <w:spacing w:lineRule="auto" w:line="240"/>
        <w:jc w:val="both"/>
        <w:rPr>
          <w:rFonts w:ascii="Times New Roman" w:hAnsi="Times New Roman"/>
          <w:sz w:val="22"/>
          <w:szCs w:val="22"/>
        </w:rPr>
      </w:pPr>
      <w:r>
        <w:rPr>
          <w:rFonts w:ascii="Times New Roman" w:hAnsi="Times New Roman"/>
          <w:sz w:val="22"/>
          <w:szCs w:val="22"/>
        </w:rPr>
      </w:r>
    </w:p>
    <w:p>
      <w:pPr>
        <w:pStyle w:val="BodyText"/>
        <w:spacing w:lineRule="auto" w:line="240" w:before="0" w:after="0"/>
        <w:jc w:val="both"/>
        <w:rPr/>
      </w:pPr>
      <w:r>
        <w:rPr>
          <w:rStyle w:val="Policepardfaut"/>
          <w:rFonts w:ascii="Times New Roman" w:hAnsi="Times New Roman"/>
          <w:b/>
          <w:bCs/>
          <w:sz w:val="22"/>
          <w:szCs w:val="22"/>
        </w:rPr>
        <w:t>Art. L. 2224-17</w:t>
      </w:r>
      <w:r>
        <w:rPr>
          <w:rStyle w:val="Policepardfaut"/>
          <w:rFonts w:ascii="Times New Roman" w:hAnsi="Times New Roman"/>
          <w:sz w:val="22"/>
          <w:szCs w:val="22"/>
        </w:rPr>
        <w:t> : L'obligation générale d'entretien à laquelle sont soumis les propriétaires et affectataires du domaine public comporte celle d'assurer ou de faire assurer la gestion des déchets qui s'y trouvent.</w:t>
      </w:r>
    </w:p>
    <w:p>
      <w:pPr>
        <w:pStyle w:val="BodyText"/>
        <w:spacing w:lineRule="auto" w:line="240" w:before="0" w:after="0"/>
        <w:jc w:val="both"/>
        <w:rPr/>
      </w:pPr>
      <w:hyperlink r:id="rId6" w:tgtFrame="_top">
        <w:r>
          <w:rPr>
            <w:rStyle w:val="Hyperlink"/>
            <w:rFonts w:ascii="Times New Roman" w:hAnsi="Times New Roman"/>
            <w:sz w:val="22"/>
            <w:szCs w:val="22"/>
          </w:rPr>
          <w:t>https://www.legifrance.gouv.fr/codes/article_lc/LEGIARTI000023268869</w:t>
        </w:r>
      </w:hyperlink>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b/>
          <w:bCs/>
          <w:color w:val="000000"/>
          <w:sz w:val="22"/>
          <w:szCs w:val="22"/>
        </w:rPr>
      </w:pPr>
      <w:r>
        <w:rPr>
          <w:rFonts w:ascii="Times New Roman" w:hAnsi="Times New Roman"/>
          <w:b/>
          <w:bCs/>
          <w:color w:val="000000"/>
          <w:sz w:val="22"/>
          <w:szCs w:val="22"/>
        </w:rPr>
        <w:t>CODE DE LA SANTÉ PUBLIQUE :</w:t>
      </w:r>
    </w:p>
    <w:p>
      <w:pPr>
        <w:pStyle w:val="Heading2"/>
        <w:tabs>
          <w:tab w:val="clear" w:pos="709"/>
          <w:tab w:val="left" w:pos="0" w:leader="none"/>
        </w:tabs>
        <w:spacing w:lineRule="auto" w:line="276" w:before="0" w:after="0"/>
        <w:ind w:left="0" w:hanging="0"/>
        <w:jc w:val="both"/>
        <w:rPr/>
      </w:pPr>
      <w:bookmarkStart w:id="6" w:name="LEGIARTI000031928399-1"/>
      <w:bookmarkEnd w:id="6"/>
      <w:r>
        <w:rPr>
          <w:rStyle w:val="Policepardfaut"/>
          <w:rFonts w:ascii="Times New Roman" w:hAnsi="Times New Roman"/>
          <w:color w:val="000000"/>
          <w:sz w:val="22"/>
          <w:szCs w:val="22"/>
        </w:rPr>
        <w:t xml:space="preserve">Article L1311-1 : </w:t>
      </w:r>
      <w:r>
        <w:rPr>
          <w:rStyle w:val="Policepardfaut"/>
          <w:rFonts w:ascii="Times New Roman" w:hAnsi="Times New Roman"/>
          <w:b w:val="false"/>
          <w:bCs w:val="false"/>
          <w:sz w:val="22"/>
          <w:szCs w:val="22"/>
        </w:rPr>
        <w:t>Sans préjudice de l'application de législations spéciales et des pouvoirs reconnus aux autorités locales, des décrets en Conseil d’État, pris après consultation du Haut Conseil de la santé publique et, le cas échéant, du Conseil supérieur de la prévention des risques professionnels, fixent les règles générales d'hygiène et toutes autres mesures propres à préserver la santé de l'homme, notamment en matière :</w:t>
      </w:r>
    </w:p>
    <w:p>
      <w:pPr>
        <w:pStyle w:val="BodyText"/>
        <w:jc w:val="both"/>
        <w:rPr>
          <w:rFonts w:ascii="Times New Roman" w:hAnsi="Times New Roman"/>
          <w:sz w:val="22"/>
          <w:szCs w:val="22"/>
        </w:rPr>
      </w:pPr>
      <w:r>
        <w:rPr>
          <w:rFonts w:ascii="Times New Roman" w:hAnsi="Times New Roman"/>
          <w:sz w:val="22"/>
          <w:szCs w:val="22"/>
        </w:rPr>
        <w:t>- de prévention des maladies transmissibles ;</w:t>
      </w:r>
    </w:p>
    <w:p>
      <w:pPr>
        <w:pStyle w:val="BodyText"/>
        <w:jc w:val="both"/>
        <w:rPr>
          <w:rFonts w:ascii="Times New Roman" w:hAnsi="Times New Roman"/>
          <w:sz w:val="22"/>
          <w:szCs w:val="22"/>
        </w:rPr>
      </w:pPr>
      <w:r>
        <w:rPr>
          <w:rFonts w:ascii="Times New Roman" w:hAnsi="Times New Roman"/>
          <w:sz w:val="22"/>
          <w:szCs w:val="22"/>
        </w:rPr>
        <w:t>- de salubrité des habitations, des agglomérations et de tous les milieux de vie de l'homme ;</w:t>
      </w:r>
    </w:p>
    <w:p>
      <w:pPr>
        <w:pStyle w:val="BodyText"/>
        <w:jc w:val="both"/>
        <w:rPr>
          <w:rFonts w:ascii="Times New Roman" w:hAnsi="Times New Roman"/>
          <w:sz w:val="22"/>
          <w:szCs w:val="22"/>
        </w:rPr>
      </w:pPr>
      <w:r>
        <w:rPr>
          <w:rFonts w:ascii="Times New Roman" w:hAnsi="Times New Roman"/>
          <w:sz w:val="22"/>
          <w:szCs w:val="22"/>
        </w:rPr>
        <w:t>- d'alimentation en eau destinée à la consommation humaine ;</w:t>
      </w:r>
    </w:p>
    <w:p>
      <w:pPr>
        <w:pStyle w:val="BodyText"/>
        <w:jc w:val="both"/>
        <w:rPr>
          <w:rFonts w:ascii="Times New Roman" w:hAnsi="Times New Roman"/>
          <w:sz w:val="22"/>
          <w:szCs w:val="22"/>
        </w:rPr>
      </w:pPr>
      <w:r>
        <w:rPr>
          <w:rFonts w:ascii="Times New Roman" w:hAnsi="Times New Roman"/>
          <w:sz w:val="22"/>
          <w:szCs w:val="22"/>
        </w:rPr>
        <w:t>- d'exercice d'activités non soumises à la législation sur les installations classées pour la protection de l'environnement ;</w:t>
      </w:r>
    </w:p>
    <w:p>
      <w:pPr>
        <w:pStyle w:val="BodyText"/>
        <w:jc w:val="both"/>
        <w:rPr>
          <w:rFonts w:ascii="Times New Roman" w:hAnsi="Times New Roman"/>
          <w:sz w:val="22"/>
          <w:szCs w:val="22"/>
        </w:rPr>
      </w:pPr>
      <w:r>
        <w:rPr>
          <w:rFonts w:ascii="Times New Roman" w:hAnsi="Times New Roman"/>
          <w:sz w:val="22"/>
          <w:szCs w:val="22"/>
        </w:rPr>
        <w:t>- d'évacuation, de traitement, d'élimination et d'utilisation des eaux usées et des déchets ;</w:t>
      </w:r>
    </w:p>
    <w:p>
      <w:pPr>
        <w:pStyle w:val="BodyText"/>
        <w:jc w:val="both"/>
        <w:rPr>
          <w:rFonts w:ascii="Times New Roman" w:hAnsi="Times New Roman"/>
          <w:sz w:val="22"/>
          <w:szCs w:val="22"/>
        </w:rPr>
      </w:pPr>
      <w:r>
        <w:rPr>
          <w:rFonts w:ascii="Times New Roman" w:hAnsi="Times New Roman"/>
          <w:sz w:val="22"/>
          <w:szCs w:val="22"/>
        </w:rPr>
        <w:t>- de lutte contre les nuisances sonores et la pollution atmosphérique ;</w:t>
      </w:r>
    </w:p>
    <w:p>
      <w:pPr>
        <w:pStyle w:val="BodyText"/>
        <w:spacing w:before="0" w:after="0"/>
        <w:jc w:val="both"/>
        <w:rPr>
          <w:rFonts w:ascii="Times New Roman" w:hAnsi="Times New Roman"/>
          <w:sz w:val="22"/>
          <w:szCs w:val="22"/>
        </w:rPr>
      </w:pPr>
      <w:r>
        <w:rPr>
          <w:rFonts w:ascii="Times New Roman" w:hAnsi="Times New Roman"/>
          <w:sz w:val="22"/>
          <w:szCs w:val="22"/>
        </w:rPr>
        <w:t>- de préparation, de distribution, de transport et de conservation des denrées alimentaires.</w:t>
      </w:r>
    </w:p>
    <w:p>
      <w:pPr>
        <w:pStyle w:val="BodyText"/>
        <w:spacing w:before="0" w:after="0"/>
        <w:jc w:val="both"/>
        <w:rPr/>
      </w:pPr>
      <w:r>
        <w:rPr>
          <w:rStyle w:val="Policepardfaut"/>
          <w:rFonts w:ascii="Times New Roman" w:hAnsi="Times New Roman"/>
          <w:sz w:val="22"/>
          <w:szCs w:val="22"/>
        </w:rPr>
        <w:t>(</w:t>
      </w:r>
      <w:hyperlink r:id="rId7" w:tgtFrame="_top">
        <w:r>
          <w:rPr>
            <w:rStyle w:val="Hyperlink"/>
            <w:rFonts w:ascii="Times New Roman" w:hAnsi="Times New Roman"/>
            <w:sz w:val="22"/>
            <w:szCs w:val="22"/>
          </w:rPr>
          <w:t>https://www.legifrance.gouv.fr/codes/article_lc/LEGIARTI000031928399</w:t>
        </w:r>
      </w:hyperlink>
      <w:r>
        <w:rPr>
          <w:rStyle w:val="Policepardfaut"/>
          <w:rFonts w:ascii="Times New Roman" w:hAnsi="Times New Roman"/>
          <w:sz w:val="22"/>
          <w:szCs w:val="22"/>
        </w:rPr>
        <w:t>)</w:t>
      </w:r>
    </w:p>
    <w:p>
      <w:pPr>
        <w:pStyle w:val="Heading2"/>
        <w:tabs>
          <w:tab w:val="clear" w:pos="709"/>
          <w:tab w:val="left" w:pos="0" w:leader="none"/>
        </w:tabs>
        <w:ind w:left="0" w:hanging="0"/>
        <w:jc w:val="both"/>
        <w:rPr/>
      </w:pPr>
      <w:bookmarkStart w:id="7" w:name="LEGIARTI000028808097-1"/>
      <w:bookmarkEnd w:id="7"/>
      <w:r>
        <w:rPr>
          <w:rStyle w:val="Policepardfaut"/>
          <w:rFonts w:ascii="Times New Roman" w:hAnsi="Times New Roman"/>
          <w:sz w:val="22"/>
          <w:szCs w:val="22"/>
        </w:rPr>
        <w:t xml:space="preserve">Article L1311-2 :  </w:t>
      </w:r>
      <w:r>
        <w:rPr>
          <w:rStyle w:val="Policepardfaut"/>
          <w:rFonts w:ascii="Times New Roman" w:hAnsi="Times New Roman"/>
          <w:b w:val="false"/>
          <w:bCs w:val="false"/>
          <w:sz w:val="22"/>
          <w:szCs w:val="22"/>
        </w:rPr>
        <w:t>Les décrets mentionnés à l'article L. 1311-1 peuvent être complétés par des arrêtés du représentant de l’État dans le département ou par des arrêtés du maire ayant pour objet d'édicter des dispositions particulières en vue d'assurer la protection de la santé publique dans le département ou la commune.</w:t>
      </w:r>
    </w:p>
    <w:p>
      <w:pPr>
        <w:pStyle w:val="BodyText"/>
        <w:spacing w:before="0" w:after="0"/>
        <w:jc w:val="both"/>
        <w:rPr>
          <w:rFonts w:ascii="Times New Roman" w:hAnsi="Times New Roman"/>
          <w:sz w:val="22"/>
          <w:szCs w:val="22"/>
        </w:rPr>
      </w:pPr>
      <w:r>
        <w:rPr>
          <w:rFonts w:ascii="Times New Roman" w:hAnsi="Times New Roman"/>
          <w:sz w:val="22"/>
          <w:szCs w:val="22"/>
        </w:rPr>
        <w:t>Pour les infractions aux arrêtés mentionnés au premier alinéa, l'action publique est éteinte par le paiement d'une amende forfaitaire, qui est exclusive de l'application des règles de la récidive. Toutefois, la procédure de l'amende forfaitaire n'est pas applicable si plusieurs infractions, dont l'une au moins ne peut donner lieu à une amende forfaitaire, ont été constatées simultanément ou lorsque la loi prévoit que la récidive de la contravention constitue un délit. Le montant de l'amende forfaitaire peut être acquitté soit entre les mains de l'agent verbalisateur au moment de la constatation de l'infraction, soit auprès du service indiqué dans l'avis de contravention, dans les quarante-cinq jours qui suivent la constatation de l'infraction ou, si cet avis est ultérieurement envoyé à l'intéressé, dans les quarante-cinq jours qui suivent cet envoi.</w:t>
      </w:r>
    </w:p>
    <w:p>
      <w:pPr>
        <w:pStyle w:val="BodyText"/>
        <w:spacing w:before="0" w:after="0"/>
        <w:jc w:val="both"/>
        <w:rPr/>
      </w:pPr>
      <w:r>
        <w:rPr>
          <w:rStyle w:val="Policepardfaut"/>
          <w:rFonts w:ascii="Times New Roman" w:hAnsi="Times New Roman"/>
          <w:sz w:val="22"/>
          <w:szCs w:val="22"/>
        </w:rPr>
        <w:t>(</w:t>
      </w:r>
      <w:hyperlink r:id="rId8" w:tgtFrame="_top">
        <w:r>
          <w:rPr>
            <w:rStyle w:val="Hyperlink"/>
            <w:rFonts w:ascii="Times New Roman" w:hAnsi="Times New Roman"/>
            <w:sz w:val="22"/>
            <w:szCs w:val="22"/>
          </w:rPr>
          <w:t>https://www.legifrance.gouv.fr/codes/article_lc/LEGIARTI000028808097</w:t>
        </w:r>
      </w:hyperlink>
      <w:r>
        <w:rPr>
          <w:rStyle w:val="Policepardfaut"/>
          <w:rFonts w:ascii="Times New Roman" w:hAnsi="Times New Roman"/>
          <w:sz w:val="22"/>
          <w:szCs w:val="22"/>
        </w:rPr>
        <w:t>)</w:t>
      </w:r>
    </w:p>
    <w:p>
      <w:pPr>
        <w:pStyle w:val="BodyText"/>
        <w:jc w:val="both"/>
        <w:rPr>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sz w:val="22"/>
          <w:szCs w:val="22"/>
        </w:rPr>
      </w:pPr>
      <w:r>
        <w:rPr>
          <w:rFonts w:ascii="Times New Roman" w:hAnsi="Times New Roman"/>
          <w:sz w:val="22"/>
          <w:szCs w:val="22"/>
        </w:rPr>
        <w:t xml:space="preserve"> </w:t>
      </w:r>
    </w:p>
    <w:p>
      <w:pPr>
        <w:pStyle w:val="BodyText"/>
        <w:spacing w:before="0" w:after="0"/>
        <w:jc w:val="both"/>
        <w:rPr>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Fonts w:ascii="Times New Roman" w:hAnsi="Times New Roman"/>
          <w:sz w:val="22"/>
          <w:szCs w:val="22"/>
        </w:rPr>
      </w:r>
    </w:p>
    <w:p>
      <w:pPr>
        <w:pStyle w:val="BodyText"/>
        <w:spacing w:before="0" w:after="0"/>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rFonts w:ascii="Times New Roman" w:hAnsi="Times New Roman"/>
          <w:color w:val="000000"/>
          <w:sz w:val="22"/>
          <w:szCs w:val="22"/>
        </w:rPr>
      </w:pPr>
      <w:r>
        <w:rPr>
          <w:rFonts w:ascii="Times New Roman" w:hAnsi="Times New Roman"/>
          <w:color w:val="000000"/>
          <w:sz w:val="22"/>
          <w:szCs w:val="22"/>
        </w:rPr>
      </w:r>
    </w:p>
    <w:p>
      <w:pPr>
        <w:pStyle w:val="BodyText"/>
        <w:spacing w:before="0" w:after="140"/>
        <w:jc w:val="both"/>
        <w:rPr>
          <w:rFonts w:ascii="Times New Roman" w:hAnsi="Times New Roman"/>
          <w:color w:val="000000"/>
          <w:sz w:val="22"/>
          <w:szCs w:val="22"/>
        </w:rPr>
      </w:pPr>
      <w:r>
        <w:rPr>
          <w:rFonts w:ascii="Times New Roman" w:hAnsi="Times New Roman"/>
          <w:color w:val="000000"/>
          <w:sz w:val="22"/>
          <w:szCs w:val="22"/>
        </w:rPr>
      </w:r>
    </w:p>
    <w:sectPr>
      <w:headerReference w:type="default" r:id="rId9"/>
      <w:footerReference w:type="default" r:id="rId10"/>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2">
    <w:name w:val="Heading 2"/>
    <w:basedOn w:val="Titre"/>
    <w:next w:val="BodyText"/>
    <w:qFormat/>
    <w:pPr>
      <w:numPr>
        <w:ilvl w:val="1"/>
        <w:numId w:val="1"/>
      </w:numPr>
      <w:suppressAutoHyphens w:val="true"/>
      <w:spacing w:before="200" w:after="0"/>
      <w:outlineLvl w:val="1"/>
    </w:pPr>
    <w:rPr>
      <w:rFonts w:ascii="Liberation Serif" w:hAnsi="Liberation Serif" w:eastAsia="Noto Serif CJK SC"/>
      <w:b/>
      <w:bCs/>
      <w:sz w:val="36"/>
      <w:szCs w:val="36"/>
    </w:rPr>
  </w:style>
  <w:style w:type="paragraph" w:styleId="Heading6">
    <w:name w:val="Heading 6"/>
    <w:basedOn w:val="Titre"/>
    <w:next w:val="BodyText"/>
    <w:qFormat/>
    <w:pPr>
      <w:numPr>
        <w:ilvl w:val="5"/>
        <w:numId w:val="1"/>
      </w:numPr>
      <w:suppressAutoHyphens w:val="true"/>
      <w:spacing w:before="60" w:after="60"/>
      <w:outlineLvl w:val="5"/>
    </w:pPr>
    <w:rPr>
      <w:rFonts w:ascii="Liberation Serif" w:hAnsi="Liberation Serif" w:eastAsia="Noto Serif CJK SC"/>
      <w:b/>
      <w:bCs/>
      <w:sz w:val="14"/>
      <w:szCs w:val="14"/>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article_lc/LEGIARTI000048247402" TargetMode="External"/><Relationship Id="rId3" Type="http://schemas.openxmlformats.org/officeDocument/2006/relationships/hyperlink" Target="https://www.legifrance.gouv.fr/codes/article_lc/LEGIARTI000006390149" TargetMode="External"/><Relationship Id="rId4" Type="http://schemas.openxmlformats.org/officeDocument/2006/relationships/hyperlink" Target="https://www.legifrance.gouv.fr/codes/article_lc/LEGIARTI00002994637" TargetMode="External"/><Relationship Id="rId5" Type="http://schemas.openxmlformats.org/officeDocument/2006/relationships/hyperlink" Target="https://www.legifrance.gouv.fr/codes/article_lc/LEGIARTI000041598995" TargetMode="External"/><Relationship Id="rId6" Type="http://schemas.openxmlformats.org/officeDocument/2006/relationships/hyperlink" Target="https://www.legifrance.gouv.fr/codes/article_lc/LEGIARTI000023268869" TargetMode="External"/><Relationship Id="rId7" Type="http://schemas.openxmlformats.org/officeDocument/2006/relationships/hyperlink" Target="https://www.legifrance.gouv.fr/codes/article_lc/LEGIARTI000031928399" TargetMode="External"/><Relationship Id="rId8" Type="http://schemas.openxmlformats.org/officeDocument/2006/relationships/hyperlink" Target="https://www.legifrance.gouv.fr/codes/article_lc/LEGIARTI000028808097"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Collabora_Office/23.05.10.1$Linux_X86_64 LibreOffice_project/c8fa7c01aa8a3e263c07b5cf4f72ace70f1d9308</Application>
  <AppVersion>15.0000</AppVersion>
  <Pages>6</Pages>
  <Words>2924</Words>
  <Characters>16026</Characters>
  <CharactersWithSpaces>18863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2024-10-22T12:59:00Z</dcterms:created>
  <dc:creator>Claire - HELIOS</dc:creator>
  <dc:description/>
  <dc:language>fr-FR</dc:language>
  <cp:lastModifiedBy/>
  <dcterms:modified xsi:type="dcterms:W3CDTF">2024-10-24T09:15:35Z</dcterms:modified>
  <cp:revision>5</cp:revision>
  <dc:subject/>
  <dc:title/>
</cp:coreProperties>
</file>